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Zmluva o spracúvaní osobných údajov</w:t>
      </w:r>
    </w:p>
    <w:p>
      <w:r>
        <w:t>Systém VILKA • podľa článku 28 ods. 3 nariadenia (EÚ) 2016/679</w:t>
      </w:r>
    </w:p>
    <w:p>
      <w:r>
        <w:t>Číslo zmluvy: [DOPLNIŤ]     Zmluva alebo objednávka služby: [DOPLNIŤ]</w:t>
      </w:r>
    </w:p>
    <w:p>
      <w:pPr>
        <w:pStyle w:val="Heading1"/>
      </w:pPr>
      <w:r>
        <w:t>1 Zmluvné strany</w:t>
      </w:r>
    </w:p>
    <w:p>
      <w:pPr>
        <w:pStyle w:val="Heading2"/>
      </w:pPr>
      <w:r>
        <w:t>Prevádzkovateľ osobných údajov</w:t>
      </w:r>
    </w:p>
    <w:p>
      <w:r>
        <w:t>Obchodné meno alebo názov: [DOPLNIŤ]</w:t>
        <w:br/>
        <w:t>Sídlo alebo miesto podnikania: [DOPLNIŤ]</w:t>
        <w:br/>
        <w:t>IČO: [DOPLNIŤ]</w:t>
        <w:br/>
        <w:t>Zápis v registri: [DOPLNIŤ]</w:t>
        <w:br/>
        <w:t>Zastúpený: [DOPLNIŤ]</w:t>
        <w:br/>
        <w:t>Kontaktná osoba pre ochranu údajov a e-mail: [DOPLNIŤ]</w:t>
        <w:br/>
        <w:t>Telefón pre bezpečnostné incidenty: [DOPLNIŤ]</w:t>
      </w:r>
    </w:p>
    <w:p>
      <w:pPr>
        <w:pStyle w:val="Heading2"/>
      </w:pPr>
      <w:r>
        <w:t>Sprostredkovateľ</w:t>
      </w:r>
    </w:p>
    <w:p>
      <w:r>
        <w:t>Cardsystem SK s. r. o.</w:t>
        <w:br/>
        <w:t>Hviezdna ulica 913/15C, 930 41 Hviezdoslavov, Slovenská republika</w:t>
        <w:br/>
        <w:t>IČO: 36479365</w:t>
        <w:br/>
        <w:t>Zastúpený: Mgr. Miroslav Mladý, konateľ</w:t>
        <w:br/>
        <w:t>Kontakt pre ochranu údajov a incidenty: cardsystem@cardsystem.sk</w:t>
        <w:br/>
        <w:t>Telefón: +421 948 042 711</w:t>
      </w:r>
    </w:p>
    <w:p>
      <w:r>
        <w:t>Ďalej jednotlivo „strana“ a spoločne „strany“. Pojmy prevádzkovateľ, sprostredkovateľ, osobné údaje a porušenie ochrany osobných údajov majú význam podľa GDPR.</w:t>
      </w:r>
    </w:p>
    <w:p>
      <w:pPr>
        <w:pStyle w:val="Heading1"/>
      </w:pPr>
      <w:r>
        <w:t>2 Predmet a rozsah poverenia</w:t>
      </w:r>
    </w:p>
    <w:p>
      <w:r>
        <w:t>2.1 Prevádzkovateľ poveruje sprostredkovateľa spracúvaním osobných údajov pri poskytovaní dohodnutej cloudovej služby VILKA. Prevádzkovateľ určuje účely a pravidlá evidencie svojich hostí, návštevníkov, zamestnancov alebo iných používateľov. Sprostredkovateľ spracúva ich údaje v jeho mene a podľa jeho zdokumentovaných pokynov.</w:t>
      </w:r>
    </w:p>
    <w:p>
      <w:r>
        <w:t>2.2 Poverenie zahŕňa iba moduly, činnosti a údaje určené v prílohe 1, vrátane dohodnutého vytvorenia a zaslania PIN kódu a jeho platnosti e-mailom. Trvá počas poskytovania služby a následne iba počas nevyhnutného vrátenia alebo vymazania údajov podľa tejto zmluvy.</w:t>
      </w:r>
    </w:p>
    <w:p>
      <w:r>
        <w:t>2.3 Táto zmluva sa nevzťahuje na vlastnú fakturáciu a obchodnú evidenciu sprostredkovateľa, pri ktorých je samostatným prevádzkovateľom. Pri čisto lokálnej prevádzke bez prístupu sprostredkovateľa sa neuplatní na údaje, ktoré nespracúva; servisný prístup vyžaduje zdokumentovaný rozsah a pokyn.</w:t>
      </w:r>
    </w:p>
    <w:p>
      <w:r>
        <w:br w:type="page"/>
      </w:r>
    </w:p>
    <w:p>
      <w:pPr>
        <w:pStyle w:val="Heading1"/>
      </w:pPr>
      <w:r>
        <w:t>3 Pokyny a povinnosti prevádzkovateľa</w:t>
      </w:r>
    </w:p>
    <w:p>
      <w:r>
        <w:t>3.1 Prevádzkovateľ zodpovedá za zákonný účel a právny základ spracúvania, splnenie informačnej povinnosti voči dotknutým osobám, primeranosť rozsahu údajov a určenie lehôt uchovávania. Táto zmluva sama osebe nenahrádza právny základ spracúvania ani informácie podľa článkov 13 a 14 GDPR.</w:t>
      </w:r>
    </w:p>
    <w:p>
      <w:r>
        <w:t>3.2 Pokynmi sú táto zmluva a prílohy, zdokumentované nastavenia a úkony oprávnených používateľov v systéme a pokyny zaslané dohodnutým kontaktom. Prevádzkovateľ zabezpečí oprávnenosť používateľov, správnosť adresátov e-mailov a obmedzenie prístupov na potrebný rozsah. Dodatočné pokyny nesmú rozširovať dohodnutý účel bez príslušnej zmeny zmluvy.</w:t>
      </w:r>
    </w:p>
    <w:p>
      <w:r>
        <w:t>3.3 Prevádzkovateľ schvaľuje obsah servisných správ a rozhoduje, komu a kedy sa odošlú. E-mailová adresa získaná na doručenie prístupového kódu sa na základe tohto poverenia nepoužije na marketing. Prevádzkovateľ priebežne ruší nepotrebné účty a oprávnenia a oznamuje zistené bezpečnostné problémy.</w:t>
      </w:r>
    </w:p>
    <w:p>
      <w:pPr>
        <w:pStyle w:val="Heading1"/>
      </w:pPr>
      <w:r>
        <w:t>4 Povinnosti sprostredkovateľa</w:t>
      </w:r>
    </w:p>
    <w:p>
      <w:r>
        <w:t>4.1 Sprostredkovateľ spracúva údaje iba podľa zdokumentovaných pokynov vrátane pokynov k prenosom mimo EHP. Ak spracúvanie vyžaduje právo Únie alebo členského štátu, ktorému podlieha, pred spracúvaním informuje prevádzkovateľa o tejto povinnosti, pokiaľ mu to právo nezakazuje z dôležitých dôvodov verejného záujmu.</w:t>
      </w:r>
    </w:p>
    <w:p>
      <w:r>
        <w:t>4.2 Ak sa domnieva, že pokyn porušuje GDPR alebo iné predpisy Únie či členských štátov o ochrane údajov, bezodkladne upozorní prevádzkovateľa. Dotknutú operáciu môže pozastaviť do objasnenia zákonnosti; tým nesmie ohroziť nevyhnutnú ochranu údajov.</w:t>
      </w:r>
    </w:p>
    <w:p>
      <w:r>
        <w:t>4.3 Prístup poskytne len povereným osobám v nevyhnutnom rozsahu. Zabezpečí ich zmluvnú alebo zákonnú mlčanlivosť a poučenie; mlčanlivosť trvá aj po skončení ich oprávnenia. Údaje nepoužije na vlastnú reklamu, predaj databáz ani iné vlastné účely mimo osobitného zákonného základu.</w:t>
      </w:r>
    </w:p>
    <w:p>
      <w:r>
        <w:t>4.4 Zavedie opatrenia podľa článku 32 GDPR a prílohy 2. Pri ich aktualizácii nezníži dohodnutú úroveň ochrany. Vedie záznamy o spracovateľských činnostiach, ak ich vyžaduje článok 30 GDPR, a spolupracuje s príslušným dozorným orgánom.</w:t>
      </w:r>
    </w:p>
    <w:p>
      <w:pPr>
        <w:pStyle w:val="Heading1"/>
      </w:pPr>
      <w:r>
        <w:t>5 Súčinnosť a bezpečnostné incidenty</w:t>
      </w:r>
    </w:p>
    <w:p>
      <w:r>
        <w:t>5.1 S prihliadnutím na povahu spracúvania pomáha prevádzkovateľovi vhodnými technickými a organizačnými opatreniami vybavovať práva dotknutých osôb, najmä vyhľadať, opraviť, exportovať, obmedziť alebo vymazať údaje. Doručenú žiadosť postúpi bez zbytočného odkladu. Sám ju vecne nevybavuje bez poverenia, ak mu zákon neukladá inak.</w:t>
      </w:r>
    </w:p>
    <w:p>
      <w:r>
        <w:t>5.2 S prihliadnutím na dostupné informácie pomáha pri plnení článkov 32 až 36 GDPR, najmä pri bezpečnosti, hlásení incidentov, posúdení vplyvu a predchádzajúcej konzultácii s úradom.</w:t>
      </w:r>
    </w:p>
    <w:p>
      <w:r>
        <w:t>5.3 Porušenie ochrany údajov oznámi prevádzkovateľovi bez zbytočného odkladu po tom, čo sa o ňom dozvie; zmluvne najneskôr do 24 hodín od zistenia, aj keď ešte nemá úplné informácie. Uvedie známy charakter incidentu, kategórie a približný počet osôb a záznamov, možné následky, kontaktnú osobu a prijaté alebo navrhované opatrenia. Chýbajúce informácie dopĺňa bez zbytočného odkladu, uchová dôkazy a spolupracuje na náprave. O oznámení úradu a dotknutým osobám rozhoduje prevádzkovateľ, ak zákon neurčuje inak.</w:t>
      </w:r>
    </w:p>
    <w:p>
      <w:r>
        <w:br w:type="page"/>
      </w:r>
    </w:p>
    <w:p>
      <w:pPr>
        <w:pStyle w:val="Heading1"/>
      </w:pPr>
      <w:r>
        <w:t>6 Ďalší sprostredkovatelia a prenosy</w:t>
      </w:r>
    </w:p>
    <w:p>
      <w:r>
        <w:t>6.1 Prevádzkovateľ udeľuje všeobecné písomné povolenie zapojiť ďalších sprostredkovateľov uvedených v riadne vyplnenej prílohe 3. Nevyplnený riadok ani názov technológie bez identifikácie poskytovateľa nepredstavujú schválenie. Pred sprístupnením údajov musí byť každý zapojený poskytovateľ identifikovaný a pokrytý príslušnými zmluvnými zárukami.</w:t>
      </w:r>
    </w:p>
    <w:p>
      <w:r>
        <w:t>6.2 O zamýšľanom pridaní alebo nahradení ďalšieho sprostredkovateľa informuje sprostredkovateľ e-mailom aspoň 15 kalendárnych dní vopred, s uvedením jeho identity, služby, rozsahu údajov a miesta spracúvania. Prevádzkovateľ môže v tejto lehote namietať z dôvodov ochrany údajov. Strany hľadajú vyhovujúce riešenie; do vyriešenia námietky sa novému poskytovateľovi údaje nesprístupnia. Ak riešenie nie je možné, prevádzkovateľ môže ukončiť dotknutú časť služby pred zapojením poskytovateľa bez sankcie za toto ukončenie.</w:t>
      </w:r>
    </w:p>
    <w:p>
      <w:r>
        <w:t>6.3 Sprostredkovateľ uloží ďalšiemu sprostredkovateľovi zmluvou v podstate rovnaké povinnosti ochrany údajov vrátane dostatočných bezpečnostných záruk. Voči prevádzkovateľovi zostáva plne zodpovedný za plnenie povinností ďalšieho sprostredkovateľa.</w:t>
      </w:r>
    </w:p>
    <w:p>
      <w:r>
        <w:t>6.4 Prenos alebo umožnenie prístupu z krajiny mimo EHP sa vykoná iba podľa zdokumentovaných pokynov a pri splnení kapitoly V GDPR. V prílohe 3 sa uvedie krajina, príjemca a použiteľný mechanizmus prenosu; podľa potreby sa vykoná posúdenie podmienok prenosu a prijmú doplnkové opatrenia. Táto zmluva sama osebe nenahrádza záruky pre medzinárodný prenos.</w:t>
      </w:r>
    </w:p>
    <w:p>
      <w:pPr>
        <w:pStyle w:val="Heading1"/>
      </w:pPr>
      <w:r>
        <w:t>7 Preukazovanie súladu a kontrola</w:t>
      </w:r>
    </w:p>
    <w:p>
      <w:r>
        <w:t>7.1 Sprostredkovateľ poskytne všetky informácie potrebné na preukázanie povinností podľa článku 28 GDPR a umožní audity vrátane inšpekcií prevádzkovateľom alebo ním povereným nezávislým audítorom. Bežný audit sa oznámi aspoň 10 pracovných dní vopred. Pri incidente, dôvodnom podozrení alebo požiadavke úradu sa vykoná bez zbytočného odkladu; oznamovacia lehota ho neblokuje.</w:t>
      </w:r>
    </w:p>
    <w:p>
      <w:r>
        <w:t>7.2 Kontrola sa vykoná primerane s ochranou údajov iných zákazníkov, mlčanlivosti a bezpečnosti. Dohoda o nákladoch ani existujúce správy z kontrol nesmú znemožniť zákonné právo na audit. Zistené nedostatky sa odstránia v lehote primeranej riziku.</w:t>
      </w:r>
    </w:p>
    <w:p>
      <w:pPr>
        <w:pStyle w:val="Heading1"/>
      </w:pPr>
      <w:r>
        <w:t>8 Ukončenie a záverečné ustanovenia</w:t>
      </w:r>
    </w:p>
    <w:p>
      <w:r>
        <w:t>8.1 Po skončení služby sprostredkovateľ podľa voľby prevádzkovateľa údaje vráti v dohodnutom bežne čitateľnom formáte a vymaže svoje kópie alebo ich vymaže bez vrátenia. Voľba a lehoty sú v prílohe 1. Vymazanie sa vzťahuje aj na údaje u ďalších sprostredkovateľov a na zálohy v dohodnutom cykle. Výnimkou je uchovávanie vyžadované právom Únie alebo členského štátu; dôvod a rozsah oznámi prevádzkovateľovi, ak to právo umožňuje.</w:t>
      </w:r>
    </w:p>
    <w:p>
      <w:r>
        <w:t>8.2 Do ukončenia výmazu sú údaje chránené a používajú sa iba na vrátenie, výmaz alebo povinné uchovanie. Na požiadanie sprostredkovateľ písomne potvrdí dokončenie výmazu. Porušenie, ktoré nie je napravené v primeranej určenej lehote, oprávňuje druhú stranu ukončiť dotknuté spracúvanie; pri závažnom riziku ho možno pozastaviť bezodkladne.</w:t>
      </w:r>
    </w:p>
    <w:p>
      <w:r>
        <w:t>8.3 Zmluva je účinná podpisom oboma stranami. Prílohy 1 až 3 sú jej neoddeliteľnou súčasťou a musia byť vyplnené pred začatím dotknutého spracúvania. Zmeny sa dohodnú písomne aj elektronicky, okrem zmien poskytovateľov podľa článku 6. Pri rozpore v ochrane údajov má táto zmluva prednosť pred obchodnou zmluvou. Spravuje sa právom Slovenskej republiky a GDPR; zákonné práva dotknutých osôb ani zodpovednosť podľa článku 82 GDPR nie sú dotknuté.</w:t>
      </w:r>
    </w:p>
    <w:p>
      <w:r>
        <w:br w:type="page"/>
      </w:r>
    </w:p>
    <w:p>
      <w:pPr>
        <w:pStyle w:val="Heading1"/>
      </w:pPr>
      <w:r>
        <w:t>Príloha 1 Rozsah spracúvania a lehoty</w:t>
      </w:r>
    </w:p>
    <w:p>
      <w:r>
        <w:t>Zákazník a označenie prevádzky: [DOPLNIŤ]</w:t>
        <w:br/>
        <w:t>Používané moduly VILKA: [DOPLNIŤ]</w:t>
        <w:br/>
        <w:t>Začiatok a doba poskytovania služby: [DOPLNIŤ]</w:t>
        <w:br/>
        <w:t>Umiestnenie hlavného hostingu a dát: [DOPLNIŤ]</w:t>
      </w:r>
    </w:p>
    <w:p>
      <w:pPr>
        <w:pStyle w:val="Heading2"/>
      </w:pPr>
      <w:r>
        <w:t>Účel a povaha činností</w:t>
      </w:r>
    </w:p>
    <w:p>
      <w:r>
        <w:t>Poskytovanie dohodnutej správy prístupov, rezervácií alebo evidencie osôb; vytváranie a správa časových oprávnení, doručovanie prístupových údajov a podpora prevádzky. Pri dochádzke alebo iných moduloch sa konkrétny účel doplní: [DOPLNIŤ]. Činnosti zahŕňajú získanie od prevádzkovateľa, zápis, usporiadanie, uloženie, zobrazenie, zmenu, prenos schváleným poskytovateľom, export, zálohovanie a výmaz.</w:t>
      </w:r>
    </w:p>
    <w:p>
      <w:pPr>
        <w:pStyle w:val="Heading2"/>
      </w:pPr>
      <w:r>
        <w:t>Dotknuté osoby a kategórie údajov</w:t>
      </w:r>
    </w:p>
    <w:p>
      <w:r>
        <w:t>Dotknuté osoby podľa zapnutých modulov: [VYBRAŤ: hostia, návštevníci, zamestnanci, členovia, nájomcovia, kontaktné osoby, správcovia]. Spracúvajú sa iba kategórie potrebné pre zvolené moduly; nepoužívané kategórie sa vypustia.</w:t>
      </w:r>
    </w:p>
    <w:tbl>
      <w:tblPr>
        <w:tblW w:type="auto" w:w="0"/>
        <w:jc w:val="center"/>
        <w:tblLayout w:type="fixed"/>
        <w:tblLook w:firstColumn="1" w:firstRow="1" w:lastColumn="0" w:lastRow="0" w:noHBand="0" w:noVBand="1" w:val="04A0"/>
      </w:tblPr>
      <w:tblGrid>
        <w:gridCol w:w="2304"/>
        <w:gridCol w:w="7560"/>
      </w:tblGrid>
      <w:tr>
        <w:trPr>
          <w:tblHeader/>
          <w:cantSplit/>
        </w:trPr>
        <w:tc>
          <w:tcPr>
            <w:tcW w:type="dxa" w:w="230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AECEF"/>
          </w:tcPr>
          <w:p>
            <w:pPr>
              <w:spacing w:after="60" w:before="60"/>
            </w:pPr>
            <w:r>
              <w:rPr>
                <w:b/>
                <w:sz w:val="20"/>
              </w:rPr>
              <w:t>Oblasť</w:t>
            </w:r>
          </w:p>
        </w:tc>
        <w:tc>
          <w:tcPr>
            <w:tcW w:type="dxa" w:w="756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shd w:fill="EAECEF"/>
          </w:tcPr>
          <w:p>
            <w:pPr>
              <w:spacing w:after="60" w:before="60"/>
            </w:pPr>
            <w:r>
              <w:rPr>
                <w:b/>
                <w:sz w:val="20"/>
              </w:rPr>
              <w:t>Údaje v dohodnutom rozsahu</w:t>
            </w:r>
          </w:p>
        </w:tc>
      </w:tr>
      <w:tr>
        <w:trPr>
          <w:cantSplit/>
        </w:trPr>
        <w:tc>
          <w:tcPr>
            <w:tcW w:type="dxa" w:w="230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Identifikácia a kontakt</w:t>
            </w:r>
          </w:p>
        </w:tc>
        <w:tc>
          <w:tcPr>
            <w:tcW w:type="dxa" w:w="756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Meno alebo interný identifikátor, e-mail; telefón iba pri dohodnutej funkcii.</w:t>
            </w:r>
          </w:p>
        </w:tc>
      </w:tr>
      <w:tr>
        <w:trPr>
          <w:cantSplit/>
        </w:trPr>
        <w:tc>
          <w:tcPr>
            <w:tcW w:type="dxa" w:w="230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Prístup a rezervácia</w:t>
            </w:r>
          </w:p>
        </w:tc>
        <w:tc>
          <w:tcPr>
            <w:tcW w:type="dxa" w:w="756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Objekt, miestnosť alebo box, PIN, identifikátor karty či eKey, pridelené oprávnenia a ich platnosť, termín pobytu.</w:t>
            </w:r>
          </w:p>
        </w:tc>
      </w:tr>
      <w:tr>
        <w:trPr>
          <w:cantSplit/>
        </w:trPr>
        <w:tc>
          <w:tcPr>
            <w:tcW w:type="dxa" w:w="230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Prevádzkové záznamy</w:t>
            </w:r>
          </w:p>
        </w:tc>
        <w:tc>
          <w:tcPr>
            <w:tcW w:type="dxa" w:w="756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História prístupov, udalosti a technické identifikátory; príchody a odchody iba pri dohodnutej evidencii.</w:t>
            </w:r>
          </w:p>
        </w:tc>
      </w:tr>
      <w:tr>
        <w:trPr>
          <w:cantSplit/>
        </w:trPr>
        <w:tc>
          <w:tcPr>
            <w:tcW w:type="dxa" w:w="2304"/>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Správa a komunikácia</w:t>
            </w:r>
          </w:p>
        </w:tc>
        <w:tc>
          <w:tcPr>
            <w:tcW w:type="dxa" w:w="7560"/>
            <w:vAlign w:val="center"/>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60" w:before="60"/>
            </w:pPr>
            <w:r>
              <w:rPr>
                <w:b w:val="0"/>
                <w:sz w:val="20"/>
              </w:rPr>
              <w:t>Účet a rola používateľa, záznam administrátorského úkonu, adresát, obsah servisnej správy a dostupný stav odoslania.</w:t>
            </w:r>
          </w:p>
        </w:tc>
      </w:tr>
    </w:tbl>
    <w:p>
      <w:r>
        <w:t>Biometrické údaje na jedinečnú identifikáciu, zdravotné údaje a údaje o odsúdeniach nie sú predmetom poverenia. Ich spracúvanie vyžaduje osobitnú písomnú dohodu a posúdenie zákonných podmienok.</w:t>
      </w:r>
    </w:p>
    <w:p>
      <w:pPr>
        <w:pStyle w:val="Heading2"/>
      </w:pPr>
      <w:r>
        <w:t>Doručovanie PIN kódov</w:t>
      </w:r>
    </w:p>
    <w:p>
      <w:r>
        <w:t>Na pokyn prevádzkovateľa sa na ním určenú adresu odošle servisný e-mail s PIN-om, dobou platnosti a potrebným označením objektu alebo miestnosti. Rozsah ďalších údajov v správe určuje prevádzkovateľ. Do externého systému sa prenášajú iba údaje potrebné na funkciu; prípadný alias nenahrádza posúdenie prenosu ani záruky podľa GDPR.</w:t>
      </w:r>
    </w:p>
    <w:p>
      <w:pPr>
        <w:pStyle w:val="Heading2"/>
      </w:pPr>
      <w:r>
        <w:t>Záväzné lehoty a ukončenie</w:t>
      </w:r>
    </w:p>
    <w:p>
      <w:r>
        <w:t>Prístupy, rezervácie a osobné profily: [DOPLNIŤ lehotu alebo určité kritérium].</w:t>
        <w:br/>
        <w:t>História prístupov a dochádzka: [DOPLNIŤ samostatne podľa účelu].</w:t>
        <w:br/>
        <w:t>Odoslané e-maily a doručovacie záznamy: [DOPLNIŤ vrátane SMTP služby].</w:t>
        <w:br/>
        <w:t>Technické a bezpečnostné logy: [DOPLNIŤ]. Zálohy a ich prepisovanie: [DOPLNIŤ].</w:t>
        <w:br/>
        <w:t>Po skončení služby prevádzkovateľ volí: [VRÁTENIE A VÝMAZ / VÝMAZ].</w:t>
        <w:br/>
        <w:t>Lehota na export: [DOPLNIŤ]. Výmaz aktívnych kópií: [DOPLNIŤ].</w:t>
        <w:br/>
        <w:t>Najneskorší výmaz zo záloh: [DOPLNIŤ]. Kontaktná osoba: [DOPLNIŤ].</w:t>
      </w:r>
    </w:p>
    <w:p>
      <w:r>
        <w:t>Skončenie platnosti PIN-u neznamená výmaz záznamov, e-mailov alebo záloh. Dohodnuté lehoty sa vykonávajú v každom dotknutom systéme.</w:t>
      </w:r>
    </w:p>
    <w:p>
      <w:r>
        <w:br w:type="page"/>
      </w:r>
    </w:p>
    <w:p>
      <w:pPr>
        <w:pStyle w:val="Heading1"/>
      </w:pPr>
      <w:r>
        <w:t>Príloha 2 Bezpečnostné opatrenia</w:t>
      </w:r>
    </w:p>
    <w:p>
      <w:r>
        <w:t>Táto príloha určuje minimálne zmluvné požiadavky pre dohodnutú službu. Sprostredkovateľ ich zabezpečí pred spracúvaním a udržiava počas jeho trvania. Konkrétne technické parametre uvedené nižšie strany doplnia podľa používaného riešenia; príloha nie je vyhlásením o certifikácii.</w:t>
      </w:r>
    </w:p>
    <w:p>
      <w:pPr>
        <w:pStyle w:val="Heading2"/>
      </w:pPr>
      <w:r>
        <w:t>1 Účty a oprávnenia</w:t>
      </w:r>
    </w:p>
    <w:p>
      <w:r>
        <w:t>Jedinečné účty administrátorov, silné heslá, bezpečné ukladanie hesiel a prístup podľa pracovnej potreby. Oddelenie údajov a oprávnení jednotlivých zákazníkov sa kontroluje na serverovej strane. Servisný prístup je obmedzený na poverené osoby a potrebný čas. Odobranie oprávnenia po skončení poverenia sa vykoná bez zbytočného odkladu. Viacfaktorové overovanie administrátorov sa použije tam, kde ho služba podporuje; prípadné náhradné opatrenie: [DOPLNIŤ].</w:t>
      </w:r>
    </w:p>
    <w:p>
      <w:pPr>
        <w:pStyle w:val="Heading2"/>
      </w:pPr>
      <w:r>
        <w:t>2 Prenos a ochrana prístupových údajov</w:t>
      </w:r>
    </w:p>
    <w:p>
      <w:r>
        <w:t>Webové a podporované API spojenia sú chránené TLS. Pri odosielaní pošty sa používa zabezpečené spojenie so SMTP poskytovateľom. Bežný e-mail nezaručuje koncové šifrovanie až k adresátovi; prevádzkovateľ podľa rizika určí, či je vhodné poslať PIN e-mailom alebo použiť iný dohodnutý spôsob. PIN-y sa nezverejňujú, neposielajú hromadne cez viditeľnú kópiu a nezapisujú zbytočne do diagnostických logov. Prístup k PIN-om v databáze a k odoslanej pošte je obmedzený.</w:t>
      </w:r>
    </w:p>
    <w:p>
      <w:pPr>
        <w:pStyle w:val="Heading2"/>
      </w:pPr>
      <w:r>
        <w:t>3 Aplikačná a serverová bezpečnosť</w:t>
      </w:r>
    </w:p>
    <w:p>
      <w:r>
        <w:t>Správa bezpečnostných aktualizácií a podporovaných komponentov; oprava zraniteľností podľa rizika. Ochrana konfigurácie, tajomstiev a API tokenov pred verejným prístupom. Overovanie oprávnení, validácia vstupov, ochrana relácií a primerané obmedzenie opakovaných pokusov o prihlásenie. Poskytovateľ hostingu zabezpečuje dohodnutú fyzickú ochranu infraštruktúry a prístupov k nej.</w:t>
      </w:r>
    </w:p>
    <w:p>
      <w:pPr>
        <w:pStyle w:val="Heading2"/>
      </w:pPr>
      <w:r>
        <w:t>4 Dostupnosť a obnova</w:t>
      </w:r>
    </w:p>
    <w:p>
      <w:r>
        <w:t>Pravidelné zálohy s obmedzeným prístupom, chránený prenos a uloženie záloh a pravidelné overovanie obnoviteľnosti. Frekvencia zálohovania: [DOPLNIŤ]. Miesto a ochrana záloh vrátane šifrovania alebo náhradného opatrenia: [DOPLNIŤ]. Interval skúšky obnovy: [DOPLNIŤ]. Cieľ obnovy a prípustná strata dát: [DOPLNIŤ]. Pri obnove sa zohľadnia už vykonané výmazy tak, aby sa vymazané údaje znovu nezačali bežne používať.</w:t>
      </w:r>
    </w:p>
    <w:p>
      <w:pPr>
        <w:pStyle w:val="Heading2"/>
      </w:pPr>
      <w:r>
        <w:t>5 Evidencia a overovanie účinnosti</w:t>
      </w:r>
    </w:p>
    <w:p>
      <w:r>
        <w:t>Primerané logovanie bezpečnostných a administrátorských udalostí s obmedzeným prístupom a lehotou uchovávania. Pravidelná kontrola oprávnení, zraniteľností a účinnosti opatrení; interval: [DOPLNIŤ]. Zistenia sa vyhodnocujú a riešia podľa závažnosti. Testovanie sa vykonáva prednostne na anonymných alebo testovacích údajoch.</w:t>
      </w:r>
    </w:p>
    <w:p>
      <w:pPr>
        <w:pStyle w:val="Heading2"/>
      </w:pPr>
      <w:r>
        <w:t>6 Organizácia a bezpečné ukončenie</w:t>
      </w:r>
    </w:p>
    <w:p>
      <w:r>
        <w:t>Poverené osoby sú viazané mlčanlivosťou a poučené o bezpečnom nakladaní s údajmi. Je určený postup riešenia incidentov, ich evidencia a dostupný kontaktný bod. Výmaz zahŕňa databázy, súbory, e-mailové úložiská a zálohy podľa prílohy 1; likvidácia nosičov a zrušenie účtov zabraňujú neoprávnenému obnoveniu alebo ďalšiemu prístupu.</w:t>
      </w:r>
    </w:p>
    <w:p>
      <w:r>
        <w:t>Ďalšie opatrenia alebo dohodnuté technické špecifikácie: [DOPLNIŤ].</w:t>
      </w:r>
    </w:p>
    <w:p>
      <w:r>
        <w:br w:type="page"/>
      </w:r>
    </w:p>
    <w:p>
      <w:pPr>
        <w:pStyle w:val="Heading1"/>
      </w:pPr>
      <w:r>
        <w:t>Príloha 3 Poskytovatelia a schválenie</w:t>
      </w:r>
    </w:p>
    <w:p>
      <w:r>
        <w:t>Pred podpisom sa pri každom zapojenom poskytovateľovi vyplní presná zmluvná právnická osoba, sídlo, služba, rozsah údajov, krajiny uloženia a prístupu a prípadný mechanizmus prenosu mimo EHP. Nepoužívané položky sa odstránia. Samotná obchodná značka ani všeobecný odkaz na GDPR poskytovateľa tieto údaje nenahrádzajú.</w:t>
      </w:r>
    </w:p>
    <w:p>
      <w:pPr>
        <w:pStyle w:val="Heading2"/>
      </w:pPr>
      <w:r>
        <w:t>1 Hosting a zálohovanie</w:t>
      </w:r>
    </w:p>
    <w:p>
      <w:r>
        <w:t>Poskytovateľ a sídlo: [DOPLNIŤ presnú zmluvnú entitu WebHouse alebo iného poskytovateľa].</w:t>
        <w:br/>
        <w:t>Služba a rozsah údajov: [DOPLNIŤ hosting aplikácie, databázy a záloh].</w:t>
        <w:br/>
        <w:t>Krajiny uloženia a vzdialeného prístupu: [DOPLNIŤ].</w:t>
        <w:br/>
        <w:t>Zmluva podľa článku 28 a prípadné záruky prenosu: [DOPLNIŤ].</w:t>
      </w:r>
    </w:p>
    <w:p>
      <w:pPr>
        <w:pStyle w:val="Heading2"/>
      </w:pPr>
      <w:r>
        <w:t>2 E-mailová a SMTP služba</w:t>
      </w:r>
    </w:p>
    <w:p>
      <w:r>
        <w:t>Poskytovateľ a sídlo: [DOPLNIŤ skutočného poskytovateľa odosielania].</w:t>
        <w:br/>
        <w:t>Služba a rozsah údajov: [DOPLNIŤ adresáta, obsah správy s PIN-om a platnosťou, doručovacie záznamy; prípadné uloženie odoslanej pošty].</w:t>
        <w:br/>
        <w:t>Krajiny uloženia a vzdialeného prístupu: [DOPLNIŤ].</w:t>
        <w:br/>
        <w:t>Zmluva podľa článku 28 a prípadné záruky prenosu: [DOPLNIŤ].</w:t>
      </w:r>
    </w:p>
    <w:p>
      <w:pPr>
        <w:pStyle w:val="Heading2"/>
      </w:pPr>
      <w:r>
        <w:t>3 Platforma pre zámky a ďalšie služby</w:t>
      </w:r>
    </w:p>
    <w:p>
      <w:r>
        <w:t>Poskytovateľ a sídlo: [DOPLNIŤ právnickú osobu prevádzkujúcu použité TTLock API alebo inú službu].</w:t>
        <w:br/>
        <w:t>Služba a rozsah údajov: [DOPLNIŤ skutočne prenášané údaje, napríklad identifikátor zámku, PIN a jeho platnosť, alias a prístupové udalosti].</w:t>
        <w:br/>
        <w:t>Krajiny uloženia a vzdialeného prístupu: [DOPLNIŤ].</w:t>
        <w:br/>
        <w:t>Zmluvná rola, zmluva podľa článku 28 a prípadné záruky prenosu: [DOPLNIŤ podľa skutočného toku údajov].</w:t>
      </w:r>
    </w:p>
    <w:p>
      <w:r>
        <w:t>Ďalší zapojení sprostredkovatelia: [DOPLNIŤ v rovnakom rozsahu alebo uviesť ŽIADNI]. Ak poskytovateľ spracúva údaje pre vlastné účely ako samostatný prevádzkovateľ, jeho úloha, rozsah sprístupnenia a právny základ sa osobitne zdokumentujú a uvedú v informáciách pre dotknuté osoby; nemožno ho automaticky považovať za ďalšieho sprostredkovateľa.</w:t>
      </w:r>
    </w:p>
    <w:p>
      <w:pPr>
        <w:pStyle w:val="Heading1"/>
      </w:pPr>
      <w:r>
        <w:t>Podpisy zmluvných strán</w:t>
      </w:r>
    </w:p>
    <w:p>
      <w:r>
        <w:t>Strany potvrdzujú dohodnutý rozsah služby, vyplnené lehoty a bezpečnostné parametre a zoznam poskytovateľov v prílohách 1 až 3. Zmluva môže byť podpísaná listinne alebo preukázateľným elektronickým spôsobom.</w:t>
      </w:r>
    </w:p>
    <w:p>
      <w:r>
        <w:t>Za prevádzkovateľa</w:t>
        <w:br/>
        <w:t>V [DOPLNIŤ] dňa [DOPLNIŤ]</w:t>
        <w:br/>
        <w:t>Meno a funkcia: [DOPLNIŤ]</w:t>
        <w:br/>
        <w:br/>
        <w:t>Podpis: ........................................................</w:t>
      </w:r>
    </w:p>
    <w:p>
      <w:r>
        <w:t>Za sprostredkovateľa</w:t>
        <w:br/>
        <w:t>V Hviezdoslavove dňa [DOPLNIŤ]</w:t>
        <w:br/>
        <w:t>Mgr. Miroslav Mladý, konateľ Cardsystem SK s. r. o.</w:t>
        <w:br/>
        <w:br/>
        <w:t>Podpis: ........................................................</w:t>
      </w:r>
    </w:p>
    <w:sectPr w:rsidR="00FC693F" w:rsidRPr="0006063C" w:rsidSect="00034616">
      <w:footerReference w:type="default" r:id="rId9"/>
      <w:pgSz w:w="12240" w:h="15840"/>
      <w:pgMar w:top="979"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VILKA  |  Zmluva o spracúvaní osobných údajov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Zmluva o spracúvaní osobných údajov v systéme VILKA</dc:title>
  <dc:subject/>
  <dc:creator>Cardsystem SK s. r. o.</dc:creator>
  <cp:keywords/>
  <dc:description>generated by python-docx</dc:description>
  <cp:lastModifiedBy/>
  <cp:revision>1</cp:revision>
  <dcterms:created xsi:type="dcterms:W3CDTF">2013-12-23T23:15:00Z</dcterms:created>
  <dcterms:modified xsi:type="dcterms:W3CDTF">2013-12-23T23:15:00Z</dcterms:modified>
  <cp:category/>
</cp:coreProperties>
</file>